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F4204" w14:textId="77777777" w:rsidR="007B4E99" w:rsidRPr="007B4E99" w:rsidRDefault="007B4E99" w:rsidP="007B4E99">
      <w:pPr>
        <w:keepNext/>
        <w:autoSpaceDE w:val="0"/>
        <w:autoSpaceDN w:val="0"/>
        <w:spacing w:after="0" w:line="240" w:lineRule="auto"/>
        <w:jc w:val="both"/>
        <w:outlineLvl w:val="1"/>
        <w:rPr>
          <w:rFonts w:ascii="Calibri" w:eastAsia="Times New Roman" w:hAnsi="Calibri" w:cs="Times New Roman"/>
          <w:b/>
          <w:bCs/>
          <w:iCs/>
          <w:sz w:val="20"/>
          <w:szCs w:val="20"/>
          <w:lang w:eastAsia="x-none"/>
        </w:rPr>
      </w:pPr>
      <w:r>
        <w:rPr>
          <w:rFonts w:ascii="Calibri" w:eastAsia="Times New Roman" w:hAnsi="Calibri" w:cs="Times New Roman"/>
          <w:b/>
          <w:bCs/>
          <w:iCs/>
          <w:sz w:val="20"/>
          <w:szCs w:val="20"/>
          <w:lang w:eastAsia="x-none"/>
        </w:rPr>
        <w:t xml:space="preserve">Instrukcja wypełniania tabel finansowych </w:t>
      </w:r>
    </w:p>
    <w:p w14:paraId="793481E5" w14:textId="77777777" w:rsidR="007B4E99" w:rsidRPr="007B4E99" w:rsidRDefault="007B4E99" w:rsidP="007B4E99">
      <w:pPr>
        <w:spacing w:after="24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u w:val="single"/>
          <w:lang w:eastAsia="pl-PL"/>
        </w:rPr>
      </w:pPr>
    </w:p>
    <w:p w14:paraId="6E682480" w14:textId="77777777" w:rsidR="007B4E99" w:rsidRPr="007B4E99" w:rsidRDefault="007B4E99" w:rsidP="007B4E99">
      <w:pPr>
        <w:spacing w:after="240" w:line="240" w:lineRule="auto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Przed wypełnieniem sprawozdań finansowych:</w:t>
      </w:r>
    </w:p>
    <w:p w14:paraId="2C4D3B83" w14:textId="0941CB10" w:rsidR="007B4E99" w:rsidRPr="007B4E99" w:rsidRDefault="007B4E99" w:rsidP="007B4E99">
      <w:pPr>
        <w:numPr>
          <w:ilvl w:val="0"/>
          <w:numId w:val="1"/>
        </w:numPr>
        <w:spacing w:after="12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Tabele finansowe powinny zostać wypełnione zgodnie z zasadami określonymi w Załączniku nr 1 do ustawy z dnia 29 września 1994 r. o rachunkowości (</w:t>
      </w:r>
      <w:r w:rsidR="002E12DC" w:rsidRPr="002E12DC">
        <w:rPr>
          <w:rFonts w:ascii="Calibri" w:eastAsia="Times New Roman" w:hAnsi="Calibri" w:cs="Times New Roman"/>
          <w:sz w:val="20"/>
          <w:szCs w:val="20"/>
          <w:lang w:eastAsia="pl-PL"/>
        </w:rPr>
        <w:t xml:space="preserve">Dz. U. z 2023 r. poz. 120 z </w:t>
      </w:r>
      <w:proofErr w:type="spellStart"/>
      <w:r w:rsidR="002E12DC" w:rsidRPr="002E12DC">
        <w:rPr>
          <w:rFonts w:ascii="Calibri" w:eastAsia="Times New Roman" w:hAnsi="Calibri" w:cs="Times New Roman"/>
          <w:sz w:val="20"/>
          <w:szCs w:val="20"/>
          <w:lang w:eastAsia="pl-PL"/>
        </w:rPr>
        <w:t>późn</w:t>
      </w:r>
      <w:proofErr w:type="spellEnd"/>
      <w:r w:rsidR="002E12DC" w:rsidRPr="002E12DC">
        <w:rPr>
          <w:rFonts w:ascii="Calibri" w:eastAsia="Times New Roman" w:hAnsi="Calibri" w:cs="Times New Roman"/>
          <w:sz w:val="20"/>
          <w:szCs w:val="20"/>
          <w:lang w:eastAsia="pl-PL"/>
        </w:rPr>
        <w:t>. zm</w:t>
      </w: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.).</w:t>
      </w:r>
    </w:p>
    <w:p w14:paraId="29F0D18E" w14:textId="77777777" w:rsidR="007B4E99" w:rsidRPr="007B4E99" w:rsidRDefault="007B4E99" w:rsidP="007B4E99">
      <w:pPr>
        <w:numPr>
          <w:ilvl w:val="0"/>
          <w:numId w:val="1"/>
        </w:numPr>
        <w:spacing w:after="12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Wnioskodawca wypełnia pola nie podświetlone. Uwaga: Pola podświetlone kolorem zielonym zawierają formuły (wyliczają się automatycznie), nie należy ich wypełniać.</w:t>
      </w:r>
    </w:p>
    <w:p w14:paraId="16A3FA92" w14:textId="50FEF333" w:rsidR="007B4E99" w:rsidRPr="007B4E99" w:rsidRDefault="007B4E99" w:rsidP="007B4E99">
      <w:pPr>
        <w:numPr>
          <w:ilvl w:val="0"/>
          <w:numId w:val="1"/>
        </w:numPr>
        <w:spacing w:after="12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Wnioskodawca przedstawia dane </w:t>
      </w:r>
      <w:r w:rsidR="002B75D9">
        <w:rPr>
          <w:rFonts w:ascii="Calibri" w:eastAsia="Times New Roman" w:hAnsi="Calibri" w:cs="Times New Roman"/>
          <w:sz w:val="20"/>
          <w:szCs w:val="20"/>
          <w:lang w:eastAsia="pl-PL"/>
        </w:rPr>
        <w:t xml:space="preserve">historyczne, na podstawie sprawozdań finansowych </w:t>
      </w: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dla trzech zamkniętych lat obrotowych (rok (n-3), rok (n-2)</w:t>
      </w:r>
      <w:r w:rsidR="003839B8">
        <w:rPr>
          <w:rFonts w:ascii="Calibri" w:eastAsia="Times New Roman" w:hAnsi="Calibri" w:cs="Times New Roman"/>
          <w:sz w:val="20"/>
          <w:szCs w:val="20"/>
          <w:lang w:eastAsia="pl-PL"/>
        </w:rPr>
        <w:t>,</w:t>
      </w: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rok (n-1)) oraz </w:t>
      </w:r>
      <w:r w:rsidR="002B75D9">
        <w:rPr>
          <w:rFonts w:ascii="Calibri" w:eastAsia="Times New Roman" w:hAnsi="Calibri" w:cs="Times New Roman"/>
          <w:sz w:val="20"/>
          <w:szCs w:val="20"/>
          <w:lang w:eastAsia="pl-PL"/>
        </w:rPr>
        <w:t>na koniec III kwartału 202</w:t>
      </w:r>
      <w:r w:rsidR="00F47A00">
        <w:rPr>
          <w:rFonts w:ascii="Calibri" w:eastAsia="Times New Roman" w:hAnsi="Calibri" w:cs="Times New Roman"/>
          <w:sz w:val="20"/>
          <w:szCs w:val="20"/>
          <w:lang w:eastAsia="pl-PL"/>
        </w:rPr>
        <w:t>5</w:t>
      </w:r>
      <w:r w:rsidR="002B75D9">
        <w:rPr>
          <w:rFonts w:ascii="Calibri" w:eastAsia="Times New Roman" w:hAnsi="Calibri" w:cs="Times New Roman"/>
          <w:sz w:val="20"/>
          <w:szCs w:val="20"/>
          <w:lang w:eastAsia="pl-PL"/>
        </w:rPr>
        <w:t>.  Jeżeli rok obrotowy jest jednocześnie rokiem kalendarzowym, dopuszcza się przedstawienie danych na koniec IV kwartału 202</w:t>
      </w:r>
      <w:r w:rsidR="00F47A00">
        <w:rPr>
          <w:rFonts w:ascii="Calibri" w:eastAsia="Times New Roman" w:hAnsi="Calibri" w:cs="Times New Roman"/>
          <w:sz w:val="20"/>
          <w:szCs w:val="20"/>
          <w:lang w:eastAsia="pl-PL"/>
        </w:rPr>
        <w:t>5</w:t>
      </w:r>
      <w:r w:rsidR="002B75D9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(rok n-1) jako dane nieostateczne (częściowo dane historyczne, częściowo prognostyczne).</w:t>
      </w:r>
    </w:p>
    <w:p w14:paraId="2BD07F8B" w14:textId="77777777" w:rsidR="007B4E99" w:rsidRPr="007B4E99" w:rsidRDefault="007B4E99" w:rsidP="007B4E99">
      <w:pPr>
        <w:numPr>
          <w:ilvl w:val="0"/>
          <w:numId w:val="1"/>
        </w:numPr>
        <w:spacing w:after="12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W przypadku mikro-, małych i średnich przedsiębiorców należy przygotować prognozy (</w:t>
      </w:r>
      <w:r w:rsidR="003839B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„Rok </w:t>
      </w:r>
      <w:proofErr w:type="spellStart"/>
      <w:r w:rsidR="003839B8">
        <w:rPr>
          <w:rFonts w:ascii="Calibri" w:eastAsia="Times New Roman" w:hAnsi="Calibri" w:cs="Times New Roman"/>
          <w:sz w:val="20"/>
          <w:szCs w:val="20"/>
          <w:lang w:eastAsia="pl-PL"/>
        </w:rPr>
        <w:t>n”,</w:t>
      </w:r>
      <w:r w:rsidRPr="007B4E99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„Rok</w:t>
      </w:r>
      <w:proofErr w:type="spellEnd"/>
      <w:r w:rsidRPr="007B4E99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n+1” do „Rok n+…..”</w:t>
      </w: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) na okres 3 lat od dnia zakończenia realizacji projektu, zaś w przypadku dużych przedsiębiorców na okres 5 lat.</w:t>
      </w:r>
    </w:p>
    <w:p w14:paraId="78B9BC6D" w14:textId="77777777" w:rsidR="007B4E99" w:rsidRPr="007B4E99" w:rsidRDefault="007B4E99" w:rsidP="007B4E99">
      <w:pPr>
        <w:numPr>
          <w:ilvl w:val="0"/>
          <w:numId w:val="1"/>
        </w:numPr>
        <w:spacing w:after="12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W przypadku nowo powstałego Wnioskodawcy, a więc Wnioskodawcy, który nie dokonał zamknięcia ani jednego roku obrotowego, należy przedstawić dane za zamknięte kwartały działalności, a jeżeli nie dokonano zamknięcia żadnego kwartału, dane za okres, który upłynął od daty faktycznego rozpoczęcia działalności gospodarczej. W tej sytuacji w polach dotyczących dwóch zamkniętych lat obrotowych należy wpisać „0”.</w:t>
      </w:r>
    </w:p>
    <w:p w14:paraId="087EA600" w14:textId="77777777" w:rsidR="007B4E99" w:rsidRPr="003839B8" w:rsidRDefault="007B4E99" w:rsidP="003839B8">
      <w:pPr>
        <w:numPr>
          <w:ilvl w:val="0"/>
          <w:numId w:val="1"/>
        </w:numPr>
        <w:spacing w:after="12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3839B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Rok „n” to rok, który obejmuje </w:t>
      </w:r>
      <w:r w:rsidR="003839B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rok </w:t>
      </w:r>
      <w:r w:rsidRPr="003839B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bieżący</w:t>
      </w:r>
      <w:r w:rsidR="003839B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tj. rok złożenia wniosku </w:t>
      </w:r>
      <w:r w:rsidRPr="003839B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 założenia rok obrotowy jest rokiem kalendarzowym. W przypadku, gdy rok obrotowy nie jest tożsamy z rokiem kalendarzowym należy umieścić stosowną adnotację w poniższej tabeli </w:t>
      </w:r>
      <w:r w:rsidRPr="003839B8">
        <w:rPr>
          <w:rFonts w:ascii="Calibri" w:eastAsia="Times New Roman" w:hAnsi="Calibri" w:cs="Times New Roman"/>
          <w:i/>
          <w:iCs/>
          <w:sz w:val="20"/>
          <w:szCs w:val="20"/>
          <w:lang w:eastAsia="pl-PL"/>
        </w:rPr>
        <w:t>„Szczegółowe założenia do prognoz finansowych”</w:t>
      </w:r>
      <w:r w:rsidRPr="003839B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oraz w nagłówkach tabel 1 - 3.</w:t>
      </w:r>
      <w:r w:rsidRPr="003839B8" w:rsidDel="00C25E8A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</w:p>
    <w:p w14:paraId="7DB2FFF9" w14:textId="77777777" w:rsidR="007B4E99" w:rsidRPr="007B4E99" w:rsidRDefault="007B4E99" w:rsidP="007B4E99">
      <w:pPr>
        <w:numPr>
          <w:ilvl w:val="0"/>
          <w:numId w:val="1"/>
        </w:numPr>
        <w:spacing w:after="12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wszystkie dane finansowe podajemy w </w:t>
      </w:r>
      <w:r w:rsidRPr="007B4E99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tysiącach złotych do jednego miejsca po przecinku</w:t>
      </w: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14:paraId="5712F994" w14:textId="77777777" w:rsidR="007B4E99" w:rsidRPr="007B4E99" w:rsidRDefault="007B4E99" w:rsidP="007B4E99">
      <w:pPr>
        <w:numPr>
          <w:ilvl w:val="0"/>
          <w:numId w:val="1"/>
        </w:numPr>
        <w:spacing w:after="12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prognozy muszą opierać się na realnych założeniach i być dostosowane do specyfiki danego przedsiębiorstwa oraz branży, w której ono funkcjonuje.</w:t>
      </w:r>
    </w:p>
    <w:p w14:paraId="0DFD8201" w14:textId="77777777" w:rsidR="007B4E99" w:rsidRPr="007B4E99" w:rsidRDefault="007B4E99" w:rsidP="007B4E99">
      <w:pPr>
        <w:spacing w:after="12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51710EAB" w14:textId="77777777" w:rsidR="007B4E99" w:rsidRPr="007B4E99" w:rsidRDefault="007B4E99" w:rsidP="007B4E99">
      <w:pPr>
        <w:spacing w:after="12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W szczegółowych założeniach do prognoz finansowych należy określić w szczególności:</w:t>
      </w:r>
    </w:p>
    <w:p w14:paraId="794C99B3" w14:textId="77777777" w:rsidR="007B4E99" w:rsidRPr="007B4E99" w:rsidRDefault="007B4E99" w:rsidP="007B4E99">
      <w:pPr>
        <w:numPr>
          <w:ilvl w:val="1"/>
          <w:numId w:val="2"/>
        </w:numPr>
        <w:tabs>
          <w:tab w:val="num" w:pos="900"/>
        </w:tabs>
        <w:spacing w:after="0" w:line="240" w:lineRule="auto"/>
        <w:ind w:left="900" w:hanging="54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założenia makroekonomiczne:</w:t>
      </w:r>
    </w:p>
    <w:p w14:paraId="0AB1513B" w14:textId="77777777" w:rsidR="007B4E99" w:rsidRPr="007B4E99" w:rsidRDefault="007B4E99" w:rsidP="007B4E99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inflacja, kursy wymiany walut itp. (parametry mające wpływ na sprzedaż, nabycie oraz wartość aktywów i pasywów);</w:t>
      </w:r>
    </w:p>
    <w:p w14:paraId="4F85F8CF" w14:textId="77777777" w:rsidR="007B4E99" w:rsidRPr="007B4E99" w:rsidRDefault="007B4E99" w:rsidP="007B4E99">
      <w:pPr>
        <w:numPr>
          <w:ilvl w:val="1"/>
          <w:numId w:val="2"/>
        </w:numPr>
        <w:tabs>
          <w:tab w:val="num" w:pos="900"/>
        </w:tabs>
        <w:spacing w:after="0" w:line="240" w:lineRule="auto"/>
        <w:ind w:left="900" w:hanging="54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założenia mikroekonomiczne:</w:t>
      </w:r>
    </w:p>
    <w:p w14:paraId="61A6F5C3" w14:textId="77777777" w:rsidR="007B4E99" w:rsidRPr="007B4E99" w:rsidRDefault="007B4E99" w:rsidP="007B4E99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poziom popytu oraz rozłożenie popytu w czasie;</w:t>
      </w:r>
    </w:p>
    <w:p w14:paraId="5D2F2E80" w14:textId="77777777" w:rsidR="007B4E99" w:rsidRPr="007B4E99" w:rsidRDefault="007B4E99" w:rsidP="007B4E99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czas od wdrożenia technologii do uzyskania wpływów ze sprzedaży;</w:t>
      </w:r>
    </w:p>
    <w:p w14:paraId="7617DD95" w14:textId="77777777" w:rsidR="007B4E99" w:rsidRPr="007B4E99" w:rsidRDefault="007B4E99" w:rsidP="007B4E99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sposób kalkulacji ceny i wielkości sprzedaży;</w:t>
      </w:r>
    </w:p>
    <w:p w14:paraId="0C9C8B5A" w14:textId="77777777" w:rsidR="007B4E99" w:rsidRPr="007B4E99" w:rsidRDefault="007B4E99" w:rsidP="007B4E99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założenia dotyczące przychodów oraz prognozowanych kosztów operacyjnych i finansowych;</w:t>
      </w:r>
    </w:p>
    <w:p w14:paraId="6C9AB6A9" w14:textId="77777777" w:rsidR="007B4E99" w:rsidRPr="007B4E99" w:rsidRDefault="007B4E99" w:rsidP="007B4E99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oprocentowanie kredytów i sposób finansowania działalności;</w:t>
      </w:r>
    </w:p>
    <w:p w14:paraId="065E6FBA" w14:textId="77777777" w:rsidR="007B4E99" w:rsidRPr="007B4E99" w:rsidRDefault="007B4E99" w:rsidP="007B4E99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wielkość kosztów stałych oraz ogólnozakładowych kosztów administracyjnych;</w:t>
      </w:r>
    </w:p>
    <w:p w14:paraId="6FF0EFA2" w14:textId="77777777" w:rsidR="007B4E99" w:rsidRPr="007B4E99" w:rsidRDefault="007B4E99" w:rsidP="007B4E99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informacje nt. metod oraz przyjętych stawek amortyzacji środków trwałych i wartości niematerialnych i prawnych, wyjaśnienie dotyczące tworzonych rezerw, rozliczeń międzyokresowych;</w:t>
      </w:r>
    </w:p>
    <w:p w14:paraId="09261B7B" w14:textId="77777777" w:rsidR="007B4E99" w:rsidRPr="007B4E99" w:rsidRDefault="007B4E99" w:rsidP="007B4E99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informacje nt. przewidywanego czasu otrzymania oraz sposobu księgowania otrzymanej dotacji.</w:t>
      </w:r>
    </w:p>
    <w:p w14:paraId="15F8FA74" w14:textId="77777777" w:rsidR="007B4E99" w:rsidRPr="007B4E99" w:rsidRDefault="007B4E99" w:rsidP="007B4E99">
      <w:pPr>
        <w:spacing w:after="12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</w:p>
    <w:p w14:paraId="0BACF389" w14:textId="77777777" w:rsidR="007B4E99" w:rsidRPr="007B4E99" w:rsidRDefault="007B4E99" w:rsidP="007B4E99">
      <w:pPr>
        <w:spacing w:after="12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</w:p>
    <w:p w14:paraId="05077583" w14:textId="77777777" w:rsidR="001B3076" w:rsidRPr="007B4E99" w:rsidRDefault="007B4E99" w:rsidP="007B4E99">
      <w:pPr>
        <w:spacing w:after="12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Przygotowanie rzetelnych i szczegółowych założeń do prognoz finansowych dotyczy wszystkich wnioskodawców, a w szczególności nowopowstałych przedsiębiorców.</w:t>
      </w:r>
    </w:p>
    <w:sectPr w:rsidR="001B3076" w:rsidRPr="007B4E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B0ABC"/>
    <w:multiLevelType w:val="hybridMultilevel"/>
    <w:tmpl w:val="F942E7A6"/>
    <w:lvl w:ilvl="0" w:tplc="576E90B6">
      <w:start w:val="1"/>
      <w:numFmt w:val="bullet"/>
      <w:lvlText w:val=""/>
      <w:lvlJc w:val="left"/>
      <w:pPr>
        <w:tabs>
          <w:tab w:val="num" w:pos="2339"/>
        </w:tabs>
        <w:ind w:left="233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391607C"/>
    <w:multiLevelType w:val="hybridMultilevel"/>
    <w:tmpl w:val="6742B7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34C4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5696310">
    <w:abstractNumId w:val="2"/>
  </w:num>
  <w:num w:numId="2" w16cid:durableId="146361818">
    <w:abstractNumId w:val="1"/>
  </w:num>
  <w:num w:numId="3" w16cid:durableId="1592932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E99"/>
    <w:rsid w:val="00103130"/>
    <w:rsid w:val="00142E6B"/>
    <w:rsid w:val="001B3076"/>
    <w:rsid w:val="002B75D9"/>
    <w:rsid w:val="002E12DC"/>
    <w:rsid w:val="003839B8"/>
    <w:rsid w:val="004817B3"/>
    <w:rsid w:val="00674D61"/>
    <w:rsid w:val="00754C5E"/>
    <w:rsid w:val="007B4E99"/>
    <w:rsid w:val="00805669"/>
    <w:rsid w:val="00BA7C30"/>
    <w:rsid w:val="00CE7BC7"/>
    <w:rsid w:val="00D56D84"/>
    <w:rsid w:val="00F4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BC1EB"/>
  <w15:chartTrackingRefBased/>
  <w15:docId w15:val="{48BB6883-67FA-40A2-8ADB-035680665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B4E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E9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817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mjwpu.local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Tyszkiewicz Marcin</dc:creator>
  <cp:keywords/>
  <dc:description/>
  <cp:lastModifiedBy>Tyszkiewicz Marcin</cp:lastModifiedBy>
  <cp:revision>2</cp:revision>
  <dcterms:created xsi:type="dcterms:W3CDTF">2025-12-12T08:21:00Z</dcterms:created>
  <dcterms:modified xsi:type="dcterms:W3CDTF">2025-12-12T08:21:00Z</dcterms:modified>
</cp:coreProperties>
</file>